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120" w:type="dxa"/>
        <w:shd w:val="clear" w:fill="FFFFFF" w:color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</w:tblGrid>
      <w:tr>
        <w:trPr>
          <w:tblCellSpacing w:w="15" w:type="dxa"/>
        </w:trPr>
        <w:tc>
          <w:tcPr>
            <w:shd w:val="clear" w:fill="FFFFFF" w:color="FFFFFF"/>
            <w:tcW w:w="5000" w:type="pct"/>
            <w:vAlign w:val="center"/>
            <w:textDirection w:val="lrTb"/>
            <w:noWrap w:val="false"/>
          </w:tcPr>
          <w:p>
            <w:pPr>
              <w:spacing w:lineRule="atLeast" w:line="234" w:after="100" w:afterAutospacing="1" w:before="100" w:beforeAutospacing="1"/>
              <w:rPr>
                <w:rFonts w:ascii="Arial" w:hAnsi="Arial" w:cs="Arial" w:eastAsia="Times New Roman"/>
                <w:b/>
                <w:bCs/>
                <w:caps/>
                <w:color w:val="2286B3"/>
                <w:sz w:val="20"/>
                <w:szCs w:val="20"/>
                <w:lang w:eastAsia="ru-RU"/>
              </w:rPr>
              <w:outlineLvl w:val="0"/>
            </w:pPr>
            <w:r>
              <w:rPr>
                <w:rFonts w:ascii="Arial" w:hAnsi="Arial" w:cs="Arial" w:eastAsia="Times New Roman"/>
                <w:b/>
                <w:bCs/>
                <w:caps/>
                <w:color w:val="2286B3"/>
                <w:sz w:val="20"/>
                <w:szCs w:val="20"/>
                <w:lang w:eastAsia="ru-RU"/>
              </w:rPr>
              <w:t xml:space="preserve">ЗАБОЛЕВАНИЯ ПОЗВОНОЧНИКА</w:t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 w:eastAsia="Times New Roman"/>
          <w:vanish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vanish/>
          <w:sz w:val="24"/>
          <w:szCs w:val="24"/>
          <w:lang w:eastAsia="ru-RU"/>
        </w:rPr>
      </w:r>
      <w:r/>
    </w:p>
    <w:tbl>
      <w:tblPr>
        <w:tblW w:w="0" w:type="auto"/>
        <w:tblCellSpacing w:w="15" w:type="dxa"/>
        <w:tblInd w:w="314" w:type="dxa"/>
        <w:shd w:val="clear" w:fill="FFFFFF" w:color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1"/>
      </w:tblGrid>
      <w:tr>
        <w:trPr>
          <w:tblCellSpacing w:w="15" w:type="dxa"/>
          <w:trHeight w:val="300"/>
        </w:trPr>
        <w:tc>
          <w:tcPr>
            <w:shd w:val="clear" w:fill="FFFFFF" w:color="FFFFFF"/>
            <w:tcW w:w="9041" w:type="dxa"/>
            <w:textDirection w:val="lrTb"/>
            <w:noWrap w:val="false"/>
          </w:tcPr>
          <w:p>
            <w:pPr>
              <w:spacing w:lineRule="atLeast" w:line="234" w:after="30" w:before="30"/>
              <w:rPr>
                <w:rFonts w:ascii="Tahoma" w:hAnsi="Tahoma" w:cs="Tahoma" w:eastAsia="Times New Roman"/>
                <w:color w:val="555555"/>
                <w:sz w:val="15"/>
                <w:szCs w:val="15"/>
                <w:lang w:eastAsia="ru-RU"/>
              </w:rPr>
            </w:pPr>
            <w:r/>
            <w:bookmarkStart w:id="0" w:name="_GoBack"/>
            <w:r/>
            <w:bookmarkEnd w:id="0"/>
            <w:r/>
            <w:r/>
          </w:p>
        </w:tc>
      </w:tr>
      <w:tr>
        <w:trPr>
          <w:tblCellSpacing w:w="15" w:type="dxa"/>
        </w:trPr>
        <w:tc>
          <w:tcPr>
            <w:shd w:val="clear" w:fill="FFFFFF" w:color="FFFFFF"/>
            <w:tcW w:w="9041" w:type="dxa"/>
            <w:textDirection w:val="lrTb"/>
            <w:noWrap w:val="false"/>
          </w:tcPr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38100" distB="38100" distL="38100" distR="38100" simplePos="0" relativeHeight="251659264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142875" cy="142875"/>
                      <wp:effectExtent l="0" t="0" r="9525" b="9525"/>
                      <wp:wrapSquare wrapText="bothSides"/>
                      <wp:docPr id="1" name="Рисунок 1" descr="alt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2" descr="alt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3.0pt;mso-wrap-distance-top:3.0pt;mso-wrap-distance-right:3.0pt;mso-wrap-distance-bottom:3.0pt;z-index:251659264;o:allowoverlap:true;o:allowincell:true;mso-position-horizontal-relative:text;mso-position-horizontal:left;mso-position-vertical-relative:line;margin-top:0.0pt;mso-position-vertical:absolute;width:11.2pt;height:11.2pt;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Роль Центра здоровья в диагностике, лечении и профилактике заболеваний позвоночника</w:t>
            </w:r>
            <w:r/>
          </w:p>
          <w:p>
            <w:pPr>
              <w:jc w:val="both"/>
              <w:spacing w:lineRule="atLeast" w:line="234" w:after="100" w:afterAutospacing="1" w:before="100" w:beforeAutospacing="1"/>
              <w:rPr>
                <w:rFonts w:ascii="Tahoma" w:hAnsi="Tahoma" w:cs="Tahoma" w:eastAsia="Times New Roman"/>
                <w:caps/>
                <w:color w:val="0000FF"/>
                <w:sz w:val="18"/>
                <w:szCs w:val="18"/>
                <w:lang w:eastAsia="ru-RU"/>
              </w:rPr>
              <w:outlineLvl w:val="1"/>
            </w:pPr>
            <w:r>
              <w:rPr>
                <w:rFonts w:ascii="Tahoma" w:hAnsi="Tahoma" w:cs="Tahoma" w:eastAsia="Times New Roman"/>
                <w:caps/>
                <w:color w:val="0000FF"/>
                <w:sz w:val="18"/>
                <w:szCs w:val="18"/>
                <w:lang w:eastAsia="ru-RU"/>
              </w:rPr>
              <w:t xml:space="preserve">РОЛЬ ЦЕНТРА ЗДОРОВЬЯ В ДИАГНОСТИКЕ, ЛЕЧЕНИИ И ПРОФИЛАКТИКЕ ЗАБОЛЕВАНИЙ ПОЗВОНОЧНИКА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К.Н. Борисов, к.м.н., заведующий филиалом №3 поликлиники №219 ДЗ г. Москвы, доцент кафедры международного здравоохранения РМАПО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Резюме. 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В статье анализируется роль Центров здоровья в диагностике, лечении и профилактике заболеваний позвоночника, как у взрослых, так и у детей. 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Автор отмечает, что врачи цент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ра здоровья при выявлении такого фактора риска как малоподвижный образ жизни, а тем более наличие заболеваний позвоночника должны направить пациента в лечебно-физкультурные кабинеты (залы), во врачебно-физкультурные диспансеры, на занятия в школы здоровья.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Tahoma" w:hAnsi="Tahoma" w:cs="Tahoma"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Ключевые слова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: </w:t>
            </w:r>
            <w:r>
              <w:rPr>
                <w:rFonts w:ascii="Tahoma" w:hAnsi="Tahoma" w:cs="Tahoma"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Центры здоровья, профилактика, национальный проект, профилактическая программа, заболевания позвоночника.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aps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aps/>
                <w:color w:val="0000FF"/>
                <w:sz w:val="18"/>
                <w:szCs w:val="18"/>
                <w:lang w:eastAsia="ru-RU"/>
              </w:rPr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Для многих людей, в особенности детей, нарушение осанки - лишь первый признак проявления сколиотичес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кой болезни - серьезного заболевания, затрагивающего большинство органов и систем организма. Главная опасность сколиотической болезни состоит в том, что при этом ничего не болит до тех пор, пока не начнутся дегенеративные изменения в межпозвонковых дисках.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Плохая осанка снижает запас прочности организма: сердце бьется в тесной грудной клетке, впалая грудь и повернутые вперед плечи не дают расправиться легким, а выпяченный живот нарушает н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ормальное положение органов брюшной полости. Уменьшение физиологических изгибов позвоночника приводит к постоянным микротравмам головного мозга и повышенной утомляемости, головным болям, нарушениям памяти и внимания, что приводит к потере трудоспособности.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Коррекция осанки с помощью физических упражнений, различных процедур на ранних стадиях этого заболевания позволяют остановить развитие сколиоза и даже полностью реабилитировать больного реб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енка. Нужны не двух трехмесячные посещения залов ЛФК в поликлиниках, реабилитационных центрах и диспансерах, а серьезная работа над телом. Занятия должны быть продолжительными, желательно ежедневными, необходим комплексный подход к решению данной проблемы.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Сколиоз (от гр.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scolios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— «изогнутый, кривой») представляет собой прогрессирующее заболевание, характеризующееся дугообразным искривлением позвоночника во фронтальной плоскости и скручиванием позвонков вокруг вертикальной оси —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торсия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torsio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). Главное отличие истинного сколиоза от нарушений осанки во фронтальной плоскости — наличие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торсии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позвонков. Кроме деформации позвоночника при сколиозе наблюдается деформация таза и грудной клетки. Эти нег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ативные изменения приводят к нарушению деятельности сердечнососудистой, дыхательной систем, желудочно-кишечного тракта и многих других жизненно важных систем организма больного. Поэтому обоснованно говорить не просто о сколиозе, а о сколиотической болезни.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I степень сколиоза 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характеризуется простой дугой искривления, позвоночный столб при этом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напоминает букву С. Клинически определяется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небольшая асимметрия частей туловища: лопаток,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надплечий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треугольников талии (пространство, образующееся между талией и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внутренней поверхностью свободно висящей руки больного). Линия остистых отростков слегка искривлена. В отличие от нарушения осанки, в положении больного лежа при сколиозе I степени искривление линии остистых отростков сохраняется. На стороне искривления —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надплечье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выше другого, может определяться небольшой мышечный валик. На рентгенограмме — угол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Кобба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(угол искривления) до 10°, намечается (а иногда уже определилась)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торсия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позвонков в виде небольшого отклонения остистых отростков от средней линии и асимметрия корней дужек.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II степень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 отличается от I появлением компенсаторной дуги искривления, вследствие чего позвоночный столб приобретает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форму буквы S. Асимметрия частей туловища становится более выраженной, появляется небольшое отклонение корпуса в сторону. Торсионные изменения ярко выражены не только рентгенологически, но и клинически, имеет место реберное выбухание, четко определяется мы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шечный валик. Нередко таз со стороны сколиоза опущен. Деформации носят стойкий характер. При переходе в горизонтальное положение и при активном вытяжении полного исправления кривизны искривления добиться невозможно. Рентгенологически отмечаются выраженная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торсия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и небольшая клиновидная деформация позвонков, угол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Кобба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— от 10° до 25°.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III степень сколиоза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. Позвоночный столб имеет н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е менее двух дуг. Асимметрия частей туловища увеличивается, грудная клетка резко деформирована; кзади на выпуклой стороне дуги искривления позвоночника образуется задний реберно-позвоночный горб. Как правило, на вогнутой стороне искривления резко западают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мышцы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и реберная дуга часто сближается с гребнем подвздошной кости.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Ослабляются мышцы живота. Увеличивается кифоз грудного отдела позвоночника. Рентгенологически отмечается выраженная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торсия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и клиновидная деформация позвонков и дисков. Угол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Кобба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на рентгенограмме — от 25° до 40°.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IV степень сколиоза. 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Деформация позвоночника и грудной клетки становится грубой и фиксированной. У больных ярко выражены передний и задний реберные горбы, деформация таза, грудной клетки. Наблюдается резкое нарушение функции органов грудной клетки, нервной системы и всего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орга¬низма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в целом. Угол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Кобба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на рентгенограмме — более 40° и не изменяется в положении лежа. По форме искривления и признаку сложности сколиозы делятся на 2 группы: простые и сложные.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Простые сколиозы характеризуются одной дугой искривления, с отклонениями позвоночника в одну сторону. Позвоночный столб при этом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напоминает букву С. Простые сколиозы могут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быть локальными и тотальными. Локальные сколиозы захватывают один из отделов позвоночника. Как правило, они образуются в его подвижных частях (шейный,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поясничный, грудной сколиоз). Тотальные сколиозы захватывают весь позвоночник, образуя при этом большую дугу. Сложные сколиозы характеризуются двумя и более отклонениями позвоночника в нескольких направлениях. Различают три разновидности ложных сколиозов: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lineRule="atLeast" w:line="234" w:after="75" w:before="100" w:beforeAutospacing="1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сколиоз в виде буквы S — с верхней дугой искривления;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lineRule="atLeast" w:line="234" w:after="75" w:before="100" w:beforeAutospacing="1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сколиоз в виде вопросительного знака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?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— с верхней дугой искривления вправо, а нижней влево;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lineRule="atLeast" w:line="234" w:after="75" w:before="100" w:beforeAutospacing="1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тройной сколиоз имеет три изгиба, например в шейном, грудном и поясничном отделах позвоночника.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По признаку направления искривления сколиозы делятся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левосторонние и правосторонние.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Тип сколиоза определяют по классификации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Понсети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и Фридмана. Простые сколиозы бывают: </w:t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шейные, шейно-грудные (верхне-грудные), грудные, пояснично-грудные, поясничные, пояснично-крестцовые.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 Из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сложных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— выделяют </w:t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комбинированный сколиоз.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 Сложные сколиозы (комбинированные) образуются из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простых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— основная (пер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вичная) дуга искривления компенсируется второй дугой искривления. Тип сколиоза определяется локализацией первичной дуги искривления. Для выработки реабилитационной тактики важно выявить первичную дугу искривления, так как эффективность лечения во многом за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висит от возможности выполнить коррекцию первичной дуги. По мнению ряда авторов [А.И. Кузьмин, И.И. Кон, В.И. Беленький, И.А. Мовшович и др.], первичная дуга искривления обычно больше компенсаторной. В ней всегда наглядно выражена клиновидная деформация и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торсии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позвонков, она более фиксирована и менее поддается коррекции. Если первичное искривление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ригидно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коррекция вторичных дуг не обеспечивает должного лечебного эффекта.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Иногда образуется сколиоз с тремя вершинами искривления.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66675" distB="66675" distL="66675" distR="66675" simplePos="0" relativeHeight="251660288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676275" cy="1704975"/>
                      <wp:effectExtent l="0" t="0" r="9525" b="9525"/>
                      <wp:wrapSquare wrapText="bothSides"/>
                      <wp:docPr id="2" name="Рисунок 2" descr="alt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3" descr="alt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275" cy="170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mso-wrap-distance-left:5.2pt;mso-wrap-distance-top:5.2pt;mso-wrap-distance-right:5.2pt;mso-wrap-distance-bottom:5.2pt;z-index:251660288;o:allowoverlap:true;o:allowincell:true;mso-position-horizontal-relative:text;mso-position-horizontal:left;mso-position-vertical-relative:line;margin-top:0.0pt;mso-position-vertical:absolute;width:53.2pt;height:134.2pt;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Например, если первичным является поясничный сколиоз вправо, то его компенсирует вторичный левосторонний сколиоз грудного отдела, который в свою очередь компенсируется правосторонним сколиозом шейного отдела позвоночн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ика. Сколиозы могут сочетаться с нарушениями осанки в сагиттальной плоскости, чаще — с дефектами, характеризующимися увеличением нормальных физиологических изгибов позвоночника, реже — с дефектами уменьшения нормальных физиологических изгибов позвоночника </w:t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(рис. 1).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 По развитию процесса различают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непрогрессирующий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медленно прогрессирующий и бурно прогрессирующий сколиозы.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Рис.1. Реберно-позвоночный горб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Более 50% сколиозов не прогрессируют и остаются сколиозами I степени; 40% медленно прогрессируют; 10% всех сколиозов бурно прогрессируют, т.е. через 2—3 года сколиоз достигает уже III степени развития, нередко с формированием реберного горба. Особенно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опасен в этой связи пубертатный период развития ребенка, во время которого происходит бурный рост скелета. С его началом течение сколиоза резко ухудшается. При отсутствии лечения скорость прогрессирования болезни увеличивается в 4—5 раз, поэтому необходим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контроль за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ростом ребенка. Абсолютная величина роста не влияет на течение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сколиоза, определяющую роль играет кривая скорости роста. С окончанием роста позвоночника, как правило, прекращается прогрессирование сколиотической болезни и, следовательно, можно говорить о прекращении чрезвычайно активных реабилитационных мероприятий. </w:t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br/>
            </w:r>
            <w:r>
              <w:rPr>
                <w:rFonts w:ascii="Tahoma" w:hAnsi="Tahoma" w:cs="Tahoma"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Реабилитация больных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страдающих сколиозом, носит комплексный характер. Комплекс консервативного лечения сколиоза включает лечебную гимнастику, массаж, лечебное плавание, методы ортопедической коррекции (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корсетирование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гипсовые кроватки и т.д.), электростимуляцию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щадящий двигательный режим, обеспечивающий ограничение нагрузок на позвоночник. При необходимости назначается традиционная терапия, медикаменты, диета. В последнее время появились рекомендации по применению мануальной терапии при сколиозе, основанные на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обобщении имеющихся на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сегодняшний день сведений и анализе практического опыта авторов. Однако вопрос об использовании мануальной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терапии в этом виде патологии все еще остается открытым.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Tahoma" w:hAnsi="Tahoma" w:cs="Tahoma" w:eastAsia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Лечение сколиотической болезни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 складывается из трех взаимосвязанных звеньев: мобилизация искривленного отдела позвоночника, коррекция деформации и стабилизация позвоночника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в положении достигнутой коррекции. Кроме того, лечение направлено на устранение патологических изменений других органов и систем организма больного. Основной и наиболее трудной задачей, решение которой определяет успех лечения в целом, является не мобилиза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ция и коррекция искривления, а стабилизация позвоночника в корригированном положении. Коррекция деформации, не подкрепленная мероприятиями, обеспечивающими стабилизацию позвоночника, неэффективна. Истинное излечение сколиотической болезни, т.е. уменьшение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структурной деформации позвонков, может быть достигнуто только длительным настойчивым лечением на протяжении всего периода роста позвоночника с обязательным комплексным использованием ортопедического лечения. Этот процесс весьма сложен и не всегда успешен.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Суть консервативного лечения состоит в коррекции искривления позвоночника за счет уменьшения функционального компонента искривления и стабилизации достигнутой коррекции за счет улучшения функционального состояния мышечно-связочного аппарата или с помощью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корсетирования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. Бурное прогрессирование основного патологического процесса при сколиозах I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I—IV степеней является предпосылкой к оперативному вмешательству. Оперативное лечение позволяет фиксировать позвоночник в положении максимальной коррекции, но не дает возможности полного исправления деформации, а лишь способствует уменьшению дуги сколиоза.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Неподвижный образ жизни является одним из ведущих факторов риска общей смертности. В процентном отношении на этот фактор риска приходится 9% от всех смертей. Если рассчитывать потерянные годы жизни, то на неподвижный образ жизни, как фактор риска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приходится 7% от суммы всех факторов риска. Всем, представителям группы высокого риска рекомендуют увеличение физической активности под контролем врача. Целевой уровень нагрузок — не менее получаса физических упражнений каждый или почти каждый день. Благ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оприятным, но менее выраженным, эффектом обладает и меньшая нагрузка. Физическая нагрузка здорового человека должна приносить ему приятные эмоции и ощущения, органично вписываться в привычный стиль жизни (не менее 30—45 мин 4-5 раз в неделю при ЧСС 60-75%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от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максимальной). 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При заболеваниях позвоночника без движения никак нельзя. Работа с подсознанием — да, конечно, самомассаж — хорошо, закаливание и водные процедуры — замечательно! Но пока врач Центра здоровья не заставит пациента работать мышцами, энергии 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сил, чтобы справиться с болезнью, ни ребёнок, ни взрослый не получит. Поэтому необходимо добиться регулярных постоянных физических тренировок и упражнений. Именно эти упражнения помогают многим держаться в форме и справиться с заболеваниями позвоночника. 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Ведущая роль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в реабилитации больных сколиозом принадлежит ЛФК. Клинико-физиологическим обоснованием к применению средств ЛФК в комплексной реабилитации больных сколиозом является связь условий формирования и развития костно-связочного аппарата позвоночника с функционал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ьным состоянием мышечной системы. ЛФК способствует формированию рационального мышечного корсета, удерживающего позвоночный столб в положении максимальной коррекции. При неполной коррекции ЛФК обеспечивает стабилизацию позвоночника и препятствует прогрессир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ованию болезни. Применяются общеразвивающие, дыхательные и специальные упражнения. Специальными являются упражнения, направленные на коррекцию патологической деформации позвоночника — корригирующие упражнения. Они могут быть симметричными, асимметричными,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деторсионными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. Неравномерная тренировка мышц при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выполнении симметричных упражнений способствует укреплению ослабленных мышц на стороне выпуклости искривления и уменьшению мышечных контрактур на стороне вогнутости искривления, что непосредственно приводит к нормализации мышечной тяги позвоночного столба.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Т.А. Фонарева, М.И. Фонарев (1988) указывают, что симметричные упражнения не нарушают возникших компенсаторных приспособлений и не приводят к развитию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противоискривлений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.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Важным преимуществом этих упражнений является простота их подбора и методика проведения, не требующая учета сложных биомеханических условий работы деформированного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позвоночно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-двигательного сегмента и отдельных частей опорно-двигательного аппарата.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Асимметричные корр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игирующие упражнения используются с целью уменьшения сколиотического искривления. Они подбираются индивидуально и воздействуют на патологическую деформацию локально. Асимметричные упражнения тренируют ослабленные и растянутые мышцы. Например, из исходного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положения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стоя, руки вдоль туловища, ноги на ширине плеч, выполняется следующее упражнение: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lineRule="atLeast" w:line="234" w:after="75" w:before="100" w:beforeAutospacing="1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 стороне грудного сколиоза опускается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надплечье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плечо поворачивается кнаружи, при этом лопатка приводится к средней линии. В момент приведения лопатки происходит коррекция реберного выбухания;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lineRule="atLeast" w:line="234" w:after="75" w:before="100" w:beforeAutospacing="1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 противоположной стороне грудного сколиоза поднимается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надплечье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и плечо поворачивается вперед и внутрь, лопатка при этом оттягивается кнаружи. В этом движении участвуют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надплечье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плечо и лопатка. Поворот туловища не допускается.</w:t>
            </w:r>
            <w:r/>
          </w:p>
          <w:p>
            <w:pPr>
              <w:jc w:val="center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90725" cy="2143125"/>
                      <wp:effectExtent l="0" t="0" r="9525" b="9525"/>
                      <wp:docPr id="3" name="Рисунок 3" descr="alt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1" descr="alt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90725" cy="214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156.8pt;height:168.8pt;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Рис. 2. а. — симметричное корригирующее упражнение; </w:t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br/>
              <w:t xml:space="preserve">б — асимметрично корригирующее упражнение.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 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При выполнении этого асимметричного упражнения происходит растягива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ние верхней порции трапециевидной мышцы и укрепление лопаточных мышц на стороне сколиоза; укрепление верхней порции трапециевидной мышцы и растягивание лопаточных мышц на противоположной стороне. Упражнения способствуют выравниванию тонуса мышц, положения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надплечий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уменьшению асимметрии стояния лопаток. Следует помнить, что неправильное применение асимметричных упражнений может спровоцировать дальнейшее прогрессирование сколиоза (рис. 2).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Деторсионные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упражнения выполняют следующие задачи: вращение позвонков в сторону, противоположную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торсии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; коррекция сколиоза выравниванием таза; растягивание сокращенных и укрепление растянутых мышц в поясничном и грудном отделах позвоночника. Например, на стороне пояснично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й вогнутости — отведение ноги назад в противоположную сторону; на стороне грудного сколиоза — отведение руки с небольшим поворотом корпуса в верхнем отделе вперед и внутрь. При отведении ноги таз умеренно отводится в ту же сторону. Упражнение способствует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деторсии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в поясничном и грудном отделах позвоночного столба.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Группа общеразвивающих упражнений включает в себя упражнения общ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еукрепляющего характера на все мышечные группы силового и скоростно-силового характера, упражнения на равновесие, коррекцию движения, вытяжения и расслабления. Упражнения выполняются с предметом (булава, скакалка, набивные мячи, гантели и т.д.) и без него.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Для детей, занимающихся кор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ригирующей гимнастикой, большое значение имеют дыхательные упражнения, так как у них обычно слабо развита, а нередко деформирована грудная клетка. Грудную клетку развивают при помощи специальных дыхательных упражнений. При этом она увеличивается в объеме,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следователь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но, увеличивается и жизненная емкость легких. Применяется грудное и брюшное дыхание. Нередко дети, увлекаясь движением, забывают о дыхании и задерживают его. Поэтому команда методиста «раз-два» во многих случаях заменяется командой «вдох-выдох». Например,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упражнения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лежа с гантелями, плавательные движения,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«гребля» и т.д. Методист акцентирует внимание детей на сочетании упражнения с дыханием и о категорически недопустимой задержке дыхания при упражнениях. При сколиозе I степени наряду с общеразвивающими и дыхательными упражнениями применяют симметричные кор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ригирующие упражнения. Асимметричные упражнения применяются индивидуально и исключительно редко. При сколиозе II степени в занятиях лечебной гимнастикой также преобладают ОРУ, дыхательные, симметричные упражнения. По показаниям применяются асимметричные и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деторсионные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упражнения. </w:t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При сколиозе III—IV степеней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 используется весь арсенал физических упражнений. При сколиозах противопоказаны физические упражнения, увеличивающие гибкость позвоночника (наклоны, скручивания, повороты) и приводящие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его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перерастягиванию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(висы). ЛФК проводят в форме занятия лечебной гимнастикой (занятия кор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ригирующей гимнастикой). Чтобы охватить как можно большее число детей, страдающих сколиотической болезнью, занятия корригирующей гимнастикой проводят групповым методом. Индивидуализация лечебного воздействия при групповом методе занятий достигается комплек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тованием небольших групп до 10—12 человек, однородных по деформации, возрасту, а также назначением индивидуальных упражнений и дозировки. По возрасту дети разделяются на 4 группы: 5—6-летние; 7—10-летние; 11—13-летние; 14—16-летние. Детям с прогрессирующим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сколиозом рекомендуется проводить занятия индивидуальным способом. Занятия корригирующей гимнастикой проводятся 3 раза в неделю по 30—45 мин. Занятия делятся на 3 части. Подготовительная часть включает в себя организацию группы для занятия, построение, хо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дьбу, во время которой выполняются различные движения руками, развивающие мышцы плечевого пояса и подвижность в плечевых суставах, например, махи, круговые движения. Ходьба с подниманием прямых ног, ног, согнутых в коленях, передвижение в приседе, «прыжок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лягушки», «ход слона», «шаги медведя», ходьба на пятках, на носках, на наружном крае стопы, перекаты с пятки на носок, ходьба в различном темпе и различных направле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ниях (змейкой, спиной вперед). Кратковременный бег. Дыхательные упражнения. Далее упражнения выполняются стоя перед зеркалом: общеразвивающие упражнения для шеи, нижних конечностей и плечевого пояса; для формирования и закрепления навыка правильной осанки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;д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ля профилактики и коррекции плоскостопия. Основная часть занятия. Применяют специальные корригирующие упражнения; дыхательные; 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ндивидуальные корригирующие упражнения; упражнения в равновесии; упражнения на общую и силовую выносливость мышц брюшного пресса, спины, грудной клетки, способствующие образованию рационального мышечного корсета; упражнения для коррекции деформации ног; уп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ражнения у гимнастической стенки, на гимнастической стенке; подвижные игры. В основу занятия корригирующей гимнастикой положен принцип максимальной статической разгрузки позвоночника. Наиболее эффективные исходные положения — лежа, стоя в упоре на коленях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-к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оленно-кистевое. В заключительной части применяются упражнения на расслабление, медленная ходьба с сохранением правильной осанки, дыхательные упражнения. По показаниям индивидуально используется лечение полож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ением. Продолжительность различных частей занятия зависит от физической подготовленности детей, поставленных задач, а также периода реабилитации. Темп упражнений обычно средний и медленный в упражнениях, направленных на силовое развитие отдельных мышечных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групп, а также в упражнениях корригирующего характера. Занятия лечебной гимнастикой следует проводить с учетом функционального состояния сердечнососудистой и дыхательной систем, для чего необходимо оценивать воздействие нагрузок по сдвигам частоты пульса 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его восстановлению (определение физиологической кривой), а также общую тренированность по простейшим функциональным пробам (20 приседаний, 30 подскоков) — пульсу и АД. Очень важно в процессе занятия оценивать силу и выносливость различных групп мышц, прим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еняя двигательные тесты. О силе и выносливости мышц разгибателей туловища судят по времени удержания верхней части туловища на весу, а также состоянию мышц, обеспечивающих наклоны вправо и влево. О силе выносливости мышц живота судят по числу переходов из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положения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лежа на спине в положение сидя с фиксированными ногами. Ориентиром могут служить нормативные показатели, установленные для детей A.M.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Рейзман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и Ф.И.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Багровым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: для мышц-разгибателей туловища в 7—11 лет — 1—2 мин, в 12— 16 лет — 1,5—2,5 ми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н; для мышц живота в 7—11 лет — 15—20 движений, в 12—16 лет — 25—30 движений в темпе, не превышающем 16 движений в минуту. Показатели функциональных проб обеспечивают дифференцированный подход к назначению индивидуального комплекса на занятиях лечебной гим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настикой. Значительное место в физической реабилитации сколиозов занимает лечебное плавание; его оздоровительное, лечебное и гигиеническое значение в жизни ребенка трудно переоценить. Во время плавания обеспечивается естественная разгрузка позвоночника, а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самовытяжение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во время скольжения дополняет разгрузку зон роста. При выполнении гребковых движений последовательно вовл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екаются в работу почти все мышечные группы, исчезает асимметричная работа межпозвонковых мышц, восстанавливаются условия для нормального роста тел позвонков. Одновременно укрепляются мышцы живота, спины и конечностей, совершенствуется координация движений.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Современная методика лечебного плавания разработана сотрудниками московской ортопедической школы-интерната № 76 Л.А.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Бородич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Р.Д. Назаровой. Исследователи доказали, что основным стилем плавания для лечения сколиоза у детей является брасс на груди с удлиненной паузой скольжения, во время которой позвоночник максимально вытягивается, а м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ышцы туловища статически напряжены. При этом плечевой пояс располагается параллельно поверхности воды и перпендикулярно движению, движения рук и ног симметричны, производятся в одной плоскости. При этом стиле плавания минимальны возможности увеличения подв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ижности позвоночника и вращательных движений корпуса и таза, крайне нежелательные при сколиозе. Плавание стилем кроль, баттерфляй и дельфин в чистом виде применять в лечебном плавании для детей со сколиозом нельзя. Однако могут применяться элементы этих ст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илей. Подбор плавательных упражнений учитывает степень сколиоза. При сколиозе I степени используют только симметричные плавательные упражнения: брасс на груди, удлиненная пауза скольжения, кроль на груди для ног. При сколиозе II—III степени задача коррекци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и деформации диктует применение асимметричных исходных положений. Плавание в позе коррекции после освоения техники брасса на груди должно занимать на занятии 40—50% времени. Это значительно снимает нагрузку с вогнутой стороны дуги искривления позвоночника.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При IV степени сколиоза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 на первый план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выдвигается задача не коррекции деформации, а улучшения общего состояния организма, функционального состояния сердечнососудистой и дыхательной систем. В связи с этим, как правило, используется симметричное плавание. Особое внимание уделяется дыхательным уп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ражнениям. Для тренировки сердечнососудистой системы и повышения силовой выносливости мышц индивидуально вводится плавание на коротких скоростных отрезках, под строгим контролем. Особенно важно совершенствовать технику плавания у больных, имеющих симптомы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неста¬бильности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позвоночника. Если угол искривления позвоночника на рентгенограммах в положении лежа и стоя очень отличается, необходимо максимально исключить при плавании движения позвоночника в перпендикулярном направлении и вращения позвоночника.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Для детей со сколиозом II—III степени исходное положение коррекции подбирается строго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индивидуально в зависимости от типа сколиоза. Например, при грудном типе сколиоза с вершиной на 8—9-м грудном позвонке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для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снижении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компрессии с вогнутой стороны дуги применяют асимметричные исходные положени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я для плечевого пояса: рука с вогнутой стороны сколиоза выносится при плавании вперед. При поясничном типе сколиоза (вершина дуги на 2—3-м поясничном позвонках), грудино-поясничном типе сколиоза (вершина дуги на 12-м грудном или 1-м поясничном позвонках) д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ля коррекции дуги могут быть использованы асимметричные исходные положения для тазового пояса: при плавании нога с выпуклой стороны поясничной дуги отводится с фиксацией таза на доске. При комбинированном типе сколиоза с двумя первичными дугами (грудной и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поясничный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) особое внимание уделяется коррекции грудной дуги.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Д.М.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Цверава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(1985), помимо традиционных форм реабилитации, предложил для лечения нарушений осанки во фронтальной плоскости и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диспластического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грудино-поясничного сколиоза I степени применять верховую езду.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Эфф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ективность лечения конным спортом, по мнению автора, заключается в следующем: стабилизации мобильности позвоночника, т.е. устранении функционального компонента; создании мощного, надежного мышечного корсета туловища; в обучении активной коррекции туловища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самовытяжением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; устранении скованности в движениях; выработки правильной осанки; повышении устойчивости высшей нервной деятельности; снятии «комплекса неполноценности»; повышении функции опорно-двигательной, сердечнососудистой и дыхательной систем;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развитии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ловкос¬ти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, смелости, организованности, внутренней дисциплинированности и любви к животным.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 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Заключение</w:t>
            </w:r>
            <w:r>
              <w:rPr>
                <w:rFonts w:ascii="Tahoma" w:hAnsi="Tahoma" w:cs="Tahoma" w:eastAsia="Times New Roman"/>
                <w:color w:val="0000FF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В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случае первичной анатомической неполноценности костей, суставов, тем более позвоночника профилактика патологиче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ских изменений должна быть направлена на постепенное увеличение функциональной нагрузки за счет щадящего режима труда и быта, таким образом, создаются условия для медленной компенсаторной перестройки анатомически неполноценной кости, сустава, позвоночника.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  <w:t xml:space="preserve">В соответствии с приказом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Минздравсоцразвития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 России от 19 августа 2009 г. №597 н в организационную структуру Центра здоровья должен входить кабинет (зал) ЛФК. Врач центра здоровья при выявлении такого фактора риска как малоподвижный образ жизни, а тем более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наличие заболеваний суставов и позвоночника должен направить пациента в лечебно-физкультурные кабинеты (залы), во врачебно-физкультурные диспансеры, на занятия в школы здоровья. На этом этапе своей деятельности врач Центра здоровья должен проявить высокие 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коммуникативные способности и мастерство по отношению к пациенту и тем более ребёнку с целью построить доверительные партнёрские отношения, а пациент должен чувствовать, что ему искренне желают помочь. При таких условиях можно добиться от пациента посещени</w:t>
            </w: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t xml:space="preserve">я школы здоровья и увеличение физических нагрузок. Эти нагрузки должны быть существенной составной частью комплекса оздоровительных мероприятий, как при сердечнососудистых заболеваниях, так и болезнях суставов и позвоночника, как у взрослых, так и у детей.</w:t>
            </w:r>
            <w:r/>
          </w:p>
          <w:p>
            <w:pPr>
              <w:jc w:val="both"/>
              <w:spacing w:lineRule="atLeast" w:line="234" w:after="75"/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hAnsi="Tahoma" w:cs="Tahoma" w:eastAsia="Times New Roman"/>
                <w:color w:val="333333"/>
                <w:sz w:val="18"/>
                <w:szCs w:val="18"/>
                <w:lang w:eastAsia="ru-RU"/>
              </w:rPr>
              <w:br/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2"/>
    <w:next w:val="60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0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2"/>
    <w:next w:val="60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2"/>
    <w:next w:val="60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3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paragraph" w:styleId="44">
    <w:name w:val="Caption"/>
    <w:basedOn w:val="602"/>
    <w:next w:val="60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paragraph" w:styleId="606">
    <w:name w:val="Balloon Text"/>
    <w:basedOn w:val="602"/>
    <w:link w:val="607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07" w:customStyle="1">
    <w:name w:val="Текст выноски Знак"/>
    <w:basedOn w:val="603"/>
    <w:link w:val="60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ONLYOFFICE/6.2.0.123</Application>
  <Company>ГБУЗ "ГП № 12 ДЗМ"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Аноним</cp:lastModifiedBy>
  <cp:revision>3</cp:revision>
  <dcterms:created xsi:type="dcterms:W3CDTF">2014-05-19T11:34:00Z</dcterms:created>
  <dcterms:modified xsi:type="dcterms:W3CDTF">2021-07-23T10:31:49Z</dcterms:modified>
</cp:coreProperties>
</file>